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57.png" ContentType="image/png"/>
  <Override PartName="/word/media/rId149.png" ContentType="image/png"/>
  <Override PartName="/word/media/rId153.png" ContentType="image/png"/>
  <Override PartName="/word/media/rId145.png" ContentType="image/png"/>
  <Override PartName="/word/media/rId28.png" ContentType="image/png"/>
  <Override PartName="/word/media/rId171.png" ContentType="image/png"/>
  <Override PartName="/word/media/rId168.png" ContentType="image/png"/>
  <Override PartName="/word/media/rId12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27-11-2024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 PSF 2020).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3ca6e"/>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17 mapped small dams on</w:t>
      </w:r>
      <w:r>
        <w:t xml:space="preserve"> </w:t>
      </w:r>
      <w:r>
        <w:t xml:space="preserve">“</w:t>
      </w:r>
      <w:r>
        <w:t xml:space="preserve">potentially accessible</w:t>
      </w:r>
      <w:r>
        <w:t xml:space="preserve">”</w:t>
      </w:r>
      <w:r>
        <w:t xml:space="preserve"> </w:t>
      </w:r>
      <w:r>
        <w:t xml:space="preserve">stream segments in the watershed, blocking a total of 351.83 km (~71.42%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6556b737e18cc2efe03101c5edaeb1082e6861"/>
    <w:p>
      <w:pPr>
        <w:pStyle w:val="Heading3"/>
      </w:pPr>
      <w:r>
        <w:t xml:space="preserve">Abandoned Rail-Stream Crossings (Longitudinal)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bookmarkStart w:id="59" w:name="T_049c0"/>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0" w:name="T_2f860"/>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87</w:t>
            </w:r>
          </w:p>
        </w:tc>
      </w:tr>
    </w:tbl>
    <w:bookmarkEnd w:id="60"/>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61" w:name="T_dd9f3"/>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85</w:t>
            </w:r>
          </w:p>
        </w:tc>
      </w:tr>
    </w:tbl>
    <w:bookmarkEnd w:id="61"/>
    <w:bookmarkStart w:id="64" w:name="goals"/>
    <w:p>
      <w:pPr>
        <w:pStyle w:val="Heading2"/>
      </w:pPr>
      <w:r>
        <w:t xml:space="preserve">Goals</w:t>
      </w:r>
    </w:p>
    <w:bookmarkStart w:id="63" w:name="tbl-goals"/>
    <w:bookmarkStart w:id="62" w:name="T_4e266"/>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87%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85% to 90% within the Lower Nicola River watershed.</w:t>
            </w:r>
          </w:p>
        </w:tc>
      </w:tr>
    </w:tbl>
    <w:bookmarkEnd w:id="62"/>
    <w:bookmarkEnd w:id="63"/>
    <w:bookmarkEnd w:id="64"/>
    <w:bookmarkEnd w:id="65"/>
    <w:bookmarkStart w:id="79" w:name="barrier-prioritization"/>
    <w:p>
      <w:pPr>
        <w:pStyle w:val="Heading1"/>
      </w:pPr>
      <w:r>
        <w:t xml:space="preserve">Barrier Prioritization</w:t>
      </w:r>
    </w:p>
    <w:bookmarkStart w:id="78"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7"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39 km of modelled rearing habitat (</w:t>
      </w:r>
      <w:hyperlink w:anchor="tbl-table16">
        <w:r>
          <w:rPr>
            <w:rStyle w:val="Hyperlink"/>
          </w:rPr>
          <w:t xml:space="preserve">Table 3</w:t>
        </w:r>
      </w:hyperlink>
      <w:r>
        <w:t xml:space="preserve">).</w:t>
      </w:r>
    </w:p>
    <w:bookmarkStart w:id="70" w:name="tbl-table16"/>
    <w:bookmarkStart w:id="69" w:name="T_1eb39"/>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394.19</w:t>
            </w:r>
          </w:p>
        </w:tc>
        <w:tc>
          <w:tcPr/>
          <w:p>
            <w:pPr>
              <w:pStyle w:val="Compact"/>
              <w:jc w:val="left"/>
            </w:pPr>
            <w:r>
              <w:t xml:space="preserve">465.18</w:t>
            </w:r>
          </w:p>
        </w:tc>
        <w:tc>
          <w:tcPr/>
          <w:p>
            <w:pPr>
              <w:pStyle w:val="Compact"/>
              <w:jc w:val="left"/>
            </w:pPr>
            <w:r>
              <w:t xml:space="preserve">85%</w:t>
            </w:r>
          </w:p>
        </w:tc>
        <w:tc>
          <w:tcPr/>
          <w:p>
            <w:pPr>
              <w:pStyle w:val="Compact"/>
              <w:jc w:val="left"/>
            </w:pPr>
            <w:r>
              <w:t xml:space="preserve">96%</w:t>
            </w:r>
          </w:p>
        </w:tc>
        <w:tc>
          <w:tcPr/>
          <w:p>
            <w:pPr>
              <w:pStyle w:val="Compact"/>
              <w:jc w:val="left"/>
            </w:pPr>
            <w:r>
              <w:t xml:space="preserve">52.38</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123"/>
        <w:gridCol w:w="4189"/>
        <w:gridCol w:w="12162"/>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 (1011304224)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Spius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or barrier present. Stream too small for Steelhead habitat at this location.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197888 (1011301312)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Creek seasonably dry. Crossing passable when flowing.</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197881 (1011301739)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passable using provincial barrier assessment protocols. Adult Coho observed upstream.</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 stream crossing has washed out. No barrier present.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281"/>
        <w:gridCol w:w="2734"/>
        <w:gridCol w:w="4104"/>
        <w:gridCol w:w="1719"/>
        <w:gridCol w:w="3504"/>
        <w:gridCol w:w="4519"/>
        <w:gridCol w:w="4324"/>
        <w:gridCol w:w="2501"/>
        <w:gridCol w:w="1326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Asessment status (completed to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Best assessed when not dry, during higher flows.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Requires reassessment to determine current status.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197883(1011301743)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574"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135"/>
        <w:gridCol w:w="2465"/>
        <w:gridCol w:w="3651"/>
        <w:gridCol w:w="2734"/>
        <w:gridCol w:w="1719"/>
        <w:gridCol w:w="1719"/>
        <w:gridCol w:w="3504"/>
        <w:gridCol w:w="4519"/>
        <w:gridCol w:w="4324"/>
        <w:gridCol w:w="3138"/>
        <w:gridCol w:w="1163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 Association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 in 2023 if continues to be a low flow barrier</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 deferred until work from winter storms complete</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Concrete bridge apron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plans to do some remediation work as part of Highway 8 flood repairs, aiming for 2023 instream work window</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natural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Perched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mouth perched following November storms. Remediated in early 2022.</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Orphaned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Ready to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determined to be orphaned. Known Steelhead spawning stream. </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bookmarkStart w:id="74" w:name="T_3bc07"/>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 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196957 (1011304224)</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1011303928</w:t>
            </w:r>
          </w:p>
        </w:tc>
        <w:tc>
          <w:tcPr/>
          <w:p>
            <w:pPr>
              <w:pStyle w:val="Compact"/>
              <w:jc w:val="left"/>
            </w:pPr>
            <w:r>
              <w:t xml:space="preserve">Spius Creek</w:t>
            </w:r>
          </w:p>
        </w:tc>
        <w:tc>
          <w:tcPr/>
          <w:p>
            <w:pPr>
              <w:pStyle w:val="Compact"/>
              <w:jc w:val="left"/>
            </w:pPr>
            <w:r>
              <w:t xml:space="preserve">Crossing does not exist</w:t>
            </w:r>
          </w:p>
        </w:tc>
        <w:tc>
          <w:tcPr/>
          <w:p>
            <w:pPr>
              <w:pStyle w:val="Compact"/>
              <w:jc w:val="left"/>
            </w:pPr>
            <w:r>
              <w:t xml:space="preserve">No crossing or barrier present. Stream too small for Steelhead habitat at this location.</w:t>
            </w:r>
          </w:p>
        </w:tc>
      </w:tr>
      <w:tr>
        <w:tc>
          <w:tcPr/>
          <w:p>
            <w:pPr>
              <w:pStyle w:val="Compact"/>
              <w:jc w:val="left"/>
            </w:pPr>
            <w:r>
              <w:t xml:space="preserve">197888 (1011301312)</w:t>
            </w:r>
          </w:p>
        </w:tc>
        <w:tc>
          <w:tcPr/>
          <w:p>
            <w:pPr>
              <w:pStyle w:val="Compact"/>
              <w:jc w:val="left"/>
            </w:pPr>
            <w:r>
              <w:t xml:space="preserve">Kwinshatin Creek</w:t>
            </w:r>
          </w:p>
        </w:tc>
        <w:tc>
          <w:tcPr/>
          <w:p>
            <w:pPr>
              <w:pStyle w:val="Compact"/>
              <w:jc w:val="left"/>
            </w:pPr>
            <w:r>
              <w:t xml:space="preserve">Ford</w:t>
            </w:r>
          </w:p>
        </w:tc>
        <w:tc>
          <w:tcPr/>
          <w:p>
            <w:pPr>
              <w:pStyle w:val="Compact"/>
              <w:jc w:val="left"/>
            </w:pPr>
            <w:r>
              <w:t xml:space="preserve">Creek seasonably dry. Crossing passable when flowing.</w:t>
            </w:r>
          </w:p>
        </w:tc>
      </w:tr>
      <w:tr>
        <w:tc>
          <w:tcPr/>
          <w:p>
            <w:pPr>
              <w:pStyle w:val="Compact"/>
              <w:jc w:val="left"/>
            </w:pPr>
            <w:r>
              <w:t xml:space="preserve">197881 (1011301739)</w:t>
            </w:r>
          </w:p>
        </w:tc>
        <w:tc>
          <w:tcPr/>
          <w:p>
            <w:pPr>
              <w:pStyle w:val="Compact"/>
              <w:jc w:val="left"/>
            </w:pPr>
            <w:r>
              <w:t xml:space="preserve">Stumbles Creek</w:t>
            </w:r>
          </w:p>
        </w:tc>
        <w:tc>
          <w:tcPr/>
          <w:p>
            <w:pPr>
              <w:pStyle w:val="Compact"/>
              <w:jc w:val="left"/>
            </w:pPr>
            <w:r>
              <w:t xml:space="preserve">Passable</w:t>
            </w:r>
          </w:p>
        </w:tc>
        <w:tc>
          <w:tcPr/>
          <w:p>
            <w:pPr>
              <w:pStyle w:val="Compact"/>
              <w:jc w:val="left"/>
            </w:pPr>
            <w:r>
              <w:t xml:space="preserve">Scores as passable using provincial barrier assessment protocols. Adult Coho observed upstream.</w:t>
            </w:r>
          </w:p>
        </w:tc>
      </w:tr>
      <w:tr>
        <w:tc>
          <w:tcPr/>
          <w:p>
            <w:pPr>
              <w:pStyle w:val="Compact"/>
              <w:jc w:val="left"/>
            </w:pPr>
            <w:r>
              <w:t xml:space="preserve">1011304111</w:t>
            </w:r>
          </w:p>
        </w:tc>
        <w:tc>
          <w:tcPr/>
          <w:p>
            <w:pPr>
              <w:pStyle w:val="Compact"/>
              <w:jc w:val="left"/>
            </w:pPr>
            <w:r>
              <w:t xml:space="preserve">Kwinshatin Creek</w:t>
            </w:r>
          </w:p>
        </w:tc>
        <w:tc>
          <w:tcPr/>
          <w:p>
            <w:pPr>
              <w:pStyle w:val="Compact"/>
              <w:jc w:val="left"/>
            </w:pPr>
            <w:r>
              <w:t xml:space="preserve">No crossing</w:t>
            </w:r>
          </w:p>
        </w:tc>
        <w:tc>
          <w:tcPr/>
          <w:p>
            <w:pPr>
              <w:pStyle w:val="Compact"/>
              <w:jc w:val="left"/>
            </w:pPr>
            <w:r>
              <w:t xml:space="preserve">Trail stream crossing has washed out. No barrier present.</w:t>
            </w:r>
          </w:p>
        </w:tc>
      </w:tr>
      <w:tr>
        <w:tc>
          <w:tcPr/>
          <w:p>
            <w:pPr>
              <w:pStyle w:val="Compact"/>
              <w:jc w:val="left"/>
            </w:pPr>
            <w:r>
              <w:t xml:space="preserve">1011304215</w:t>
            </w:r>
          </w:p>
        </w:tc>
        <w:tc>
          <w:tcPr/>
          <w:p>
            <w:pPr>
              <w:pStyle w:val="Compact"/>
              <w:jc w:val="left"/>
            </w:pPr>
            <w:r>
              <w:t xml:space="preserve">Stumbles Creek</w:t>
            </w:r>
          </w:p>
        </w:tc>
        <w:tc>
          <w:tcPr/>
          <w:p>
            <w:pPr>
              <w:pStyle w:val="Compact"/>
              <w:jc w:val="left"/>
            </w:pPr>
            <w:r>
              <w:t xml:space="preserve">Crossing removed</w:t>
            </w:r>
          </w:p>
        </w:tc>
        <w:tc>
          <w:tcPr/>
          <w:p>
            <w:pPr>
              <w:pStyle w:val="Compact"/>
              <w:jc w:val="left"/>
            </w:pPr>
            <w:r>
              <w:t xml:space="preserve">Adult coho observed upstream</w:t>
            </w:r>
          </w:p>
        </w:tc>
      </w:tr>
    </w:tbl>
    <w:bookmarkEnd w:id="74"/>
    <w:p>
      <w:pPr>
        <w:pStyle w:val="BodyText"/>
      </w:pPr>
      <w:r>
        <w:t xml:space="preserve">Out of the barriers on the intermediate list, 11 require further field assessment before selection as a final barrier to pursue for remediation:</w:t>
      </w:r>
    </w:p>
    <w:bookmarkStart w:id="75"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$35,530</w:t>
            </w:r>
          </w:p>
        </w:tc>
      </w:tr>
    </w:tbl>
    <w:p>
      <w:pPr>
        <w:pStyle w:val="BodyText"/>
      </w:pPr>
      <w:r>
        <w:rPr>
          <w:bCs/>
          <w:b/>
        </w:rPr>
        <w:t xml:space="preserve">?(caption)</w:t>
      </w:r>
    </w:p>
    <w:bookmarkEnd w:id="75"/>
    <w:p>
      <w:pPr>
        <w:pStyle w:val="BodyText"/>
      </w:pPr>
      <w:r>
        <w:t xml:space="preserve">Based on the results of the prioritization analysis, 15 barriers from the priority and intermediate barrier list are required to be remediated to achieve the connectivity goals in this plan:</w:t>
      </w:r>
    </w:p>
    <w:bookmarkStart w:id="76"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6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Abandoned 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r>
      <w:tr>
        <w:trPr>
          <w:trHeight w:val="6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$15,458,000</w:t>
            </w:r>
          </w:p>
        </w:tc>
      </w:tr>
      <w:tr>
        <w:trPr>
          <w:trHeight w:val="41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6"/>
    <w:bookmarkEnd w:id="77"/>
    <w:bookmarkEnd w:id="78"/>
    <w:bookmarkEnd w:id="79"/>
    <w:bookmarkStart w:id="87" w:name="work-planning"/>
    <w:p>
      <w:pPr>
        <w:pStyle w:val="Heading1"/>
      </w:pPr>
      <w:r>
        <w:t xml:space="preserve">Work Planning</w:t>
      </w:r>
    </w:p>
    <w:bookmarkStart w:id="80" w:name="annual-progress-report"/>
    <w:p>
      <w:pPr>
        <w:pStyle w:val="Heading2"/>
      </w:pPr>
      <w:r>
        <w:t xml:space="preserve">Annual Progress Report</w:t>
      </w:r>
    </w:p>
    <w:p>
      <w:pPr>
        <w:pStyle w:val="FirstParagraph"/>
      </w:pPr>
      <w:r>
        <w:t xml:space="preserve">The Lower Nicola Indian Band, Nooaitch Band, and Scw’exmx Tribal Council completed in-depth barrier assessments and habitat confirmations at several sites (Stumbles, Kwinshatin, Brook, Murray Lake, Midday creeks) on the intermediate barriers list. In addition, initial results from CWF’s drone imagery project to identify thermal refugia were developed and reviewed at a working group meeting with program partners in 2023.</w:t>
      </w:r>
    </w:p>
    <w:bookmarkEnd w:id="80"/>
    <w:bookmarkStart w:id="85"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1" w:name="tbl-S1"/>
    <w:p>
      <w:pPr>
        <w:pStyle w:val="BodyText"/>
      </w:pPr>
      <w:r>
        <w:rPr>
          <w:bCs/>
          <w:b/>
        </w:rPr>
        <w:t xml:space="preserve">?(caption)</w:t>
      </w:r>
    </w:p>
    <w:bookmarkEnd w:id="81"/>
    <w:bookmarkStart w:id="83" w:name="tbl-opplan"/>
    <w:bookmarkStart w:id="82" w:name="T_b956d"/>
    <w:p>
      <w:pPr>
        <w:pStyle w:val="TableCaption"/>
      </w:pPr>
      <w:r>
        <w:t xml:space="preserve">Table 4: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4: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2"/>
    <w:bookmarkEnd w:id="83"/>
    <w:bookmarkStart w:id="84" w:name="tbl-fund"/>
    <w:p>
      <w:pPr>
        <w:pStyle w:val="BodyText"/>
      </w:pPr>
      <w:r>
        <w:rPr>
          <w:bCs/>
          <w:b/>
        </w:rPr>
        <w:t xml:space="preserve">?(caption)</w:t>
      </w:r>
    </w:p>
    <w:bookmarkEnd w:id="84"/>
    <w:bookmarkEnd w:id="85"/>
    <w:bookmarkStart w:id="86" w:name="annual-work-plan"/>
    <w:p>
      <w:pPr>
        <w:pStyle w:val="Heading2"/>
      </w:pPr>
      <w:r>
        <w:t xml:space="preserve">Annual Work Plan</w:t>
      </w:r>
    </w:p>
    <w:bookmarkEnd w:id="86"/>
    <w:bookmarkEnd w:id="87"/>
    <w:bookmarkStart w:id="116" w:name="references"/>
    <w:p>
      <w:pPr>
        <w:pStyle w:val="Heading1"/>
      </w:pPr>
      <w:r>
        <w:t xml:space="preserve">References</w:t>
      </w:r>
    </w:p>
    <w:bookmarkStart w:id="115" w:name="refs"/>
    <w:bookmarkStart w:id="88"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8"/>
    <w:bookmarkStart w:id="89"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9"/>
    <w:bookmarkStart w:id="90"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90"/>
    <w:bookmarkStart w:id="91"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1"/>
    <w:bookmarkStart w:id="92"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92"/>
    <w:bookmarkStart w:id="93"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93"/>
    <w:bookmarkStart w:id="94"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94"/>
    <w:bookmarkStart w:id="95"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95"/>
    <w:bookmarkStart w:id="96"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6"/>
    <w:bookmarkStart w:id="9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97"/>
    <w:bookmarkStart w:id="98"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8"/>
    <w:bookmarkStart w:id="99"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9"/>
    <w:bookmarkStart w:id="100"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100"/>
    <w:bookmarkStart w:id="10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101"/>
    <w:bookmarkStart w:id="10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102"/>
    <w:bookmarkStart w:id="10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103"/>
    <w:bookmarkStart w:id="104"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104"/>
    <w:bookmarkStart w:id="10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105"/>
    <w:bookmarkStart w:id="10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106"/>
    <w:bookmarkStart w:id="10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07"/>
    <w:bookmarkStart w:id="10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08"/>
    <w:bookmarkStart w:id="10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9"/>
    <w:bookmarkStart w:id="110"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110"/>
    <w:bookmarkStart w:id="11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11"/>
    <w:bookmarkStart w:id="11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12"/>
    <w:bookmarkStart w:id="11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13"/>
    <w:bookmarkStart w:id="11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14"/>
    <w:bookmarkEnd w:id="115"/>
    <w:bookmarkEnd w:id="116"/>
    <w:bookmarkStart w:id="118" w:name="version-history"/>
    <w:p>
      <w:pPr>
        <w:pStyle w:val="Heading1"/>
      </w:pPr>
      <w:r>
        <w:t xml:space="preserve">Version History</w:t>
      </w:r>
    </w:p>
    <w:p>
      <w:pPr>
        <w:pStyle w:val="FirstParagraph"/>
      </w:pPr>
      <w:hyperlink r:id="rId117">
        <w:r>
          <w:rPr>
            <w:rStyle w:val="Hyperlink"/>
          </w:rPr>
          <w:t xml:space="preserve">v.1.0 – March 2024</w:t>
        </w:r>
      </w:hyperlink>
    </w:p>
    <w:bookmarkEnd w:id="118"/>
    <w:bookmarkStart w:id="123" w:name="project-partners"/>
    <w:p>
      <w:pPr>
        <w:pStyle w:val="Heading1"/>
      </w:pPr>
      <w:r>
        <w:t xml:space="preserve">Project Partners</w:t>
      </w:r>
    </w:p>
    <w:bookmarkStart w:id="120" w:name="planning-team"/>
    <w:p>
      <w:pPr>
        <w:pStyle w:val="Heading3"/>
      </w:pPr>
      <w:r>
        <w:t xml:space="preserve">Planning Team</w:t>
      </w:r>
    </w:p>
    <w:bookmarkStart w:id="11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19"/>
    <w:bookmarkEnd w:id="120"/>
    <w:bookmarkStart w:id="122" w:name="key-actors"/>
    <w:p>
      <w:pPr>
        <w:pStyle w:val="Heading3"/>
      </w:pPr>
      <w:r>
        <w:t xml:space="preserve">Key Actors</w:t>
      </w:r>
    </w:p>
    <w:bookmarkStart w:id="12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21"/>
    <w:bookmarkEnd w:id="122"/>
    <w:bookmarkEnd w:id="123"/>
    <w:bookmarkStart w:id="167" w:name="supplementary-information"/>
    <w:p>
      <w:pPr>
        <w:pStyle w:val="Heading1"/>
      </w:pPr>
      <w:r>
        <w:t xml:space="preserve">Supplementary Information</w:t>
      </w:r>
    </w:p>
    <w:bookmarkStart w:id="12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27" w:name="fig-sitan"/>
          <w:p>
            <w:pPr>
              <w:jc w:val="center"/>
            </w:pPr>
            <w:r>
              <w:drawing>
                <wp:inline>
                  <wp:extent cx="5334000" cy="3261523"/>
                  <wp:effectExtent b="0" l="0" r="0" t="0"/>
                  <wp:docPr descr="" title="" id="125" name="Picture"/>
                  <a:graphic>
                    <a:graphicData uri="http://schemas.openxmlformats.org/drawingml/2006/picture">
                      <pic:pic>
                        <pic:nvPicPr>
                          <pic:cNvPr descr="content/images/situation-analysis.png" id="126" name="Picture"/>
                          <pic:cNvPicPr>
                            <a:picLocks noChangeArrowheads="1" noChangeAspect="1"/>
                          </pic:cNvPicPr>
                        </pic:nvPicPr>
                        <pic:blipFill>
                          <a:blip r:embed="rId124"/>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27"/>
        </w:tc>
      </w:tr>
    </w:tbl>
    <w:bookmarkEnd w:id="128"/>
    <w:bookmarkStart w:id="129"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9"/>
    <w:bookmarkStart w:id="132" w:name="strategy-1-lateral-barrier-remediation"/>
    <w:p>
      <w:pPr>
        <w:pStyle w:val="Heading2"/>
      </w:pPr>
      <w:r>
        <w:t xml:space="preserve">Strategy 1: Lateral Barrier Remediation</w:t>
      </w:r>
    </w:p>
    <w:bookmarkStart w:id="131" w:name="tbl-S1"/>
    <w:bookmarkStart w:id="130" w:name="T_4e03c"/>
    <w:p>
      <w:pPr>
        <w:pStyle w:val="TableCaption"/>
      </w:pPr>
      <w:r>
        <w:t xml:space="preserve">Table 5: Strategy 1</w:t>
      </w:r>
    </w:p>
    <w:tbl>
      <w:tblPr>
        <w:tblStyle w:val="Table"/>
        <w:tblW w:type="auto" w:w="0"/>
        <w:tblLook w:firstRow="1" w:lastRow="0" w:firstColumn="0" w:lastColumn="0" w:noHBand="0" w:noVBand="0" w:val="0020"/>
        <w:jc w:val="start"/>
        <w:tblCaption w:val="Table 5: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0"/>
    <w:bookmarkEnd w:id="131"/>
    <w:bookmarkEnd w:id="132"/>
    <w:bookmarkStart w:id="135" w:name="strategy-2-crossing-remidiation"/>
    <w:p>
      <w:pPr>
        <w:pStyle w:val="Heading2"/>
      </w:pPr>
      <w:r>
        <w:t xml:space="preserve">Strategy 2: Crossing Remidiation</w:t>
      </w:r>
    </w:p>
    <w:bookmarkStart w:id="134" w:name="tbl-S2"/>
    <w:bookmarkStart w:id="133" w:name="T_1bffe"/>
    <w:p>
      <w:pPr>
        <w:pStyle w:val="TableCaption"/>
      </w:pPr>
      <w:r>
        <w:t xml:space="preserve">Table 6: Strategy 2</w:t>
      </w:r>
    </w:p>
    <w:tbl>
      <w:tblPr>
        <w:tblStyle w:val="Table"/>
        <w:tblW w:type="auto" w:w="0"/>
        <w:tblLook w:firstRow="1" w:lastRow="0" w:firstColumn="0" w:lastColumn="0" w:noHBand="0" w:noVBand="0" w:val="0020"/>
        <w:jc w:val="start"/>
        <w:tblCaption w:val="Table 6: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33"/>
    <w:bookmarkEnd w:id="134"/>
    <w:bookmarkEnd w:id="135"/>
    <w:bookmarkStart w:id="138" w:name="strategy-3-dam-remediation"/>
    <w:p>
      <w:pPr>
        <w:pStyle w:val="Heading2"/>
      </w:pPr>
      <w:r>
        <w:t xml:space="preserve">Strategy 3: Dam Remediation</w:t>
      </w:r>
    </w:p>
    <w:bookmarkStart w:id="137" w:name="tbl-S3"/>
    <w:bookmarkStart w:id="136" w:name="T_f558c"/>
    <w:p>
      <w:pPr>
        <w:pStyle w:val="TableCaption"/>
      </w:pPr>
      <w:r>
        <w:t xml:space="preserve">Table 7: Strategy 3</w:t>
      </w:r>
    </w:p>
    <w:tbl>
      <w:tblPr>
        <w:tblStyle w:val="Table"/>
        <w:tblW w:type="auto" w:w="0"/>
        <w:tblLook w:firstRow="1" w:lastRow="0" w:firstColumn="0" w:lastColumn="0" w:noHBand="0" w:noVBand="0" w:val="0020"/>
        <w:jc w:val="start"/>
        <w:tblCaption w:val="Table 7: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6"/>
    <w:bookmarkEnd w:id="137"/>
    <w:bookmarkEnd w:id="138"/>
    <w:bookmarkStart w:id="141" w:name="strategy-4-barrier-prevention"/>
    <w:p>
      <w:pPr>
        <w:pStyle w:val="Heading2"/>
      </w:pPr>
      <w:r>
        <w:t xml:space="preserve">Strategy 4: Barrier Prevention</w:t>
      </w:r>
    </w:p>
    <w:bookmarkStart w:id="140" w:name="tbl-S4"/>
    <w:bookmarkStart w:id="139" w:name="T_3ed20"/>
    <w:p>
      <w:pPr>
        <w:pStyle w:val="TableCaption"/>
      </w:pPr>
      <w:r>
        <w:t xml:space="preserve">Table 8: Strategy 4</w:t>
      </w:r>
    </w:p>
    <w:tbl>
      <w:tblPr>
        <w:tblStyle w:val="Table"/>
        <w:tblW w:type="auto" w:w="0"/>
        <w:tblLook w:firstRow="1" w:lastRow="0" w:firstColumn="0" w:lastColumn="0" w:noHBand="0" w:noVBand="0" w:val="0020"/>
        <w:jc w:val="start"/>
        <w:tblCaption w:val="Table 8: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39"/>
    <w:bookmarkEnd w:id="140"/>
    <w:bookmarkEnd w:id="141"/>
    <w:bookmarkStart w:id="144" w:name="strategy-5-communication-and-education"/>
    <w:p>
      <w:pPr>
        <w:pStyle w:val="Heading2"/>
      </w:pPr>
      <w:r>
        <w:t xml:space="preserve">Strategy 5: Communication and Education</w:t>
      </w:r>
    </w:p>
    <w:bookmarkStart w:id="143" w:name="tbl-S5"/>
    <w:bookmarkStart w:id="142" w:name="T_22524"/>
    <w:p>
      <w:pPr>
        <w:pStyle w:val="TableCaption"/>
      </w:pPr>
      <w:r>
        <w:t xml:space="preserve">Table 9: Strategy 5</w:t>
      </w:r>
    </w:p>
    <w:tbl>
      <w:tblPr>
        <w:tblStyle w:val="Table"/>
        <w:tblW w:type="auto" w:w="0"/>
        <w:tblLook w:firstRow="1" w:lastRow="0" w:firstColumn="0" w:lastColumn="0" w:noHBand="0" w:noVBand="0" w:val="0020"/>
        <w:jc w:val="start"/>
        <w:tblCaption w:val="Table 9: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42"/>
    <w:bookmarkEnd w:id="143"/>
    <w:bookmarkEnd w:id="144"/>
    <w:bookmarkStart w:id="161"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48" w:name="fig-stra1"/>
          <w:p>
            <w:pPr>
              <w:jc w:val="center"/>
            </w:pPr>
            <w:r>
              <w:drawing>
                <wp:inline>
                  <wp:extent cx="5334000" cy="2944215"/>
                  <wp:effectExtent b="0" l="0" r="0" t="0"/>
                  <wp:docPr descr="" title="" id="146" name="Picture"/>
                  <a:graphic>
                    <a:graphicData uri="http://schemas.openxmlformats.org/drawingml/2006/picture">
                      <pic:pic>
                        <pic:nvPicPr>
                          <pic:cNvPr descr="content/images/flowchart-lat-bar-rem.png" id="147" name="Picture"/>
                          <pic:cNvPicPr>
                            <a:picLocks noChangeArrowheads="1" noChangeAspect="1"/>
                          </pic:cNvPicPr>
                        </pic:nvPicPr>
                        <pic:blipFill>
                          <a:blip r:embed="rId145"/>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4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2" w:name="fig-stra2"/>
          <w:p>
            <w:pPr>
              <w:jc w:val="center"/>
            </w:pPr>
            <w:r>
              <w:drawing>
                <wp:inline>
                  <wp:extent cx="5334000" cy="3008127"/>
                  <wp:effectExtent b="0" l="0" r="0" t="0"/>
                  <wp:docPr descr="" title="" id="150" name="Picture"/>
                  <a:graphic>
                    <a:graphicData uri="http://schemas.openxmlformats.org/drawingml/2006/picture">
                      <pic:pic>
                        <pic:nvPicPr>
                          <pic:cNvPr descr="content/images/flowchart-crossing-rem.png" id="151" name="Picture"/>
                          <pic:cNvPicPr>
                            <a:picLocks noChangeArrowheads="1" noChangeAspect="1"/>
                          </pic:cNvPicPr>
                        </pic:nvPicPr>
                        <pic:blipFill>
                          <a:blip r:embed="rId149"/>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5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6" w:name="fig-stra3"/>
          <w:p>
            <w:pPr>
              <w:jc w:val="center"/>
            </w:pPr>
            <w:r>
              <w:drawing>
                <wp:inline>
                  <wp:extent cx="5334000" cy="3336062"/>
                  <wp:effectExtent b="0" l="0" r="0" t="0"/>
                  <wp:docPr descr="" title="" id="154" name="Picture"/>
                  <a:graphic>
                    <a:graphicData uri="http://schemas.openxmlformats.org/drawingml/2006/picture">
                      <pic:pic>
                        <pic:nvPicPr>
                          <pic:cNvPr descr="content/images/flowchart-dam-rem.png" id="155" name="Picture"/>
                          <pic:cNvPicPr>
                            <a:picLocks noChangeArrowheads="1" noChangeAspect="1"/>
                          </pic:cNvPicPr>
                        </pic:nvPicPr>
                        <pic:blipFill>
                          <a:blip r:embed="rId153"/>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5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60" w:name="fig-stra4"/>
          <w:p>
            <w:pPr>
              <w:jc w:val="center"/>
            </w:pPr>
            <w:r>
              <w:drawing>
                <wp:inline>
                  <wp:extent cx="5334000" cy="3171224"/>
                  <wp:effectExtent b="0" l="0" r="0" t="0"/>
                  <wp:docPr descr="" title="" id="158" name="Picture"/>
                  <a:graphic>
                    <a:graphicData uri="http://schemas.openxmlformats.org/drawingml/2006/picture">
                      <pic:pic>
                        <pic:nvPicPr>
                          <pic:cNvPr descr="content/images/flowchart-bar-prevent.png" id="159" name="Picture"/>
                          <pic:cNvPicPr>
                            <a:picLocks noChangeArrowheads="1" noChangeAspect="1"/>
                          </pic:cNvPicPr>
                        </pic:nvPicPr>
                        <pic:blipFill>
                          <a:blip r:embed="rId157"/>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60"/>
        </w:tc>
      </w:tr>
    </w:tbl>
    <w:bookmarkEnd w:id="161"/>
    <w:bookmarkStart w:id="16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63" w:name="tbl-opplan"/>
    <w:bookmarkStart w:id="162" w:name="T_2b003"/>
    <w:p>
      <w:pPr>
        <w:pStyle w:val="TableCaption"/>
      </w:pPr>
      <w:r>
        <w:t xml:space="preserve">Table 10: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10: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62"/>
    <w:bookmarkEnd w:id="163"/>
    <w:bookmarkEnd w:id="164"/>
    <w:bookmarkStart w:id="166" w:name="funding-sources"/>
    <w:p>
      <w:pPr>
        <w:pStyle w:val="Heading2"/>
      </w:pPr>
      <w:r>
        <w:t xml:space="preserve">Funding Sources</w:t>
      </w:r>
    </w:p>
    <w:bookmarkStart w:id="16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65"/>
    <w:bookmarkEnd w:id="166"/>
    <w:bookmarkEnd w:id="167"/>
    <w:bookmarkStart w:id="178" w:name="data-download-and-methods"/>
    <w:p>
      <w:pPr>
        <w:pStyle w:val="Heading1"/>
      </w:pPr>
      <w:r>
        <w:t xml:space="preserve">Data Download and Methods</w:t>
      </w:r>
    </w:p>
    <w:bookmarkStart w:id="175" w:name="modelled-anadromous-salmon-habitat-maps"/>
    <w:p>
      <w:pPr>
        <w:pStyle w:val="Heading2"/>
      </w:pPr>
      <w:r>
        <w:t xml:space="preserve">Modelled Anadromous Salmon Habitat Maps</w:t>
      </w:r>
    </w:p>
    <w:p>
      <w:pPr>
        <w:pStyle w:val="FirstParagraph"/>
      </w:pPr>
      <w:r>
        <w:t xml:space="preserve">High-resolution PDF maps of the Lower Nicola River watershed and model results can be accessed here. The watershed is divided into multiple map sheets to allow for detailed examination of modelled spawning and rearing habitat and priority barriers identified through this planning process. The locations of WCRP priority barriers and associated map sheet numbers are shown below. In each map sheet, priority barriers are symbolized using the following notation:</w:t>
      </w:r>
      <w:r>
        <w:t xml:space="preserve"> </w:t>
      </w:r>
      <w:r>
        <w:drawing>
          <wp:inline>
            <wp:extent cx="1790379" cy="315045"/>
            <wp:effectExtent b="0" l="0" r="0" t="0"/>
            <wp:docPr descr="label" title="" id="169" name="Picture"/>
            <a:graphic>
              <a:graphicData uri="http://schemas.openxmlformats.org/drawingml/2006/picture">
                <pic:pic>
                  <pic:nvPicPr>
                    <pic:cNvPr descr="content/images/priority-crossing-label.png" id="170" name="Picture"/>
                    <pic:cNvPicPr>
                      <a:picLocks noChangeArrowheads="1" noChangeAspect="1"/>
                    </pic:cNvPicPr>
                  </pic:nvPicPr>
                  <pic:blipFill>
                    <a:blip r:embed="rId168"/>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74" w:name="fig-over"/>
          <w:p>
            <w:pPr>
              <w:jc w:val="center"/>
            </w:pPr>
            <w:r>
              <w:drawing>
                <wp:inline>
                  <wp:extent cx="4241586" cy="3811280"/>
                  <wp:effectExtent b="0" l="0" r="0" t="0"/>
                  <wp:docPr descr="" title="" id="172" name="Picture"/>
                  <a:graphic>
                    <a:graphicData uri="http://schemas.openxmlformats.org/drawingml/2006/picture">
                      <pic:pic>
                        <pic:nvPicPr>
                          <pic:cNvPr descr="content/images/overview-map-lnic.png" id="173" name="Picture"/>
                          <pic:cNvPicPr>
                            <a:picLocks noChangeArrowheads="1" noChangeAspect="1"/>
                          </pic:cNvPicPr>
                        </pic:nvPicPr>
                        <pic:blipFill>
                          <a:blip r:embed="rId171"/>
                          <a:stretch>
                            <a:fillRect/>
                          </a:stretch>
                        </pic:blipFill>
                        <pic:spPr bwMode="auto">
                          <a:xfrm>
                            <a:off x="0" y="0"/>
                            <a:ext cx="4241586" cy="3811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Lower Nicola River watershed overview map identifying the portions of the watershed covered by each map sheet (grey squares) and the prioritized barriers on the intermediate barrier list (orange points; see Appendix C).</w:t>
            </w:r>
          </w:p>
          <w:bookmarkEnd w:id="174"/>
        </w:tc>
      </w:tr>
    </w:tbl>
    <w:bookmarkEnd w:id="175"/>
    <w:bookmarkStart w:id="177"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76"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4385"/>
        <w:gridCol w:w="5229"/>
        <w:gridCol w:w="4189"/>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[3][4][6]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[9][13]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bl>
    <w:p>
      <w:pPr>
        <w:pStyle w:val="BodyText"/>
      </w:pPr>
      <w:r>
        <w:rPr>
          <w:bCs/>
          <w:b/>
        </w:rPr>
        <w:t xml:space="preserve">?(caption)</w:t>
      </w:r>
    </w:p>
    <w:bookmarkEnd w:id="176"/>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Sheer et al. (2009)</w:t>
      </w:r>
      <w:r>
        <w:t xml:space="preserve">.</w:t>
      </w:r>
    </w:p>
    <w:bookmarkEnd w:id="177"/>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57" Target="media/rId157.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45" Target="media/rId145.png" /><Relationship Type="http://schemas.openxmlformats.org/officeDocument/2006/relationships/image" Id="rId28" Target="media/rId28.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24" Target="media/rId124.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17"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17"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2024-11-27T20:42:07Z</dcterms:created>
  <dcterms:modified xsi:type="dcterms:W3CDTF">2024-11-27T20:42:07Z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27-11-2024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